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84" w:rsidRDefault="00B37371">
      <w:pPr>
        <w:pStyle w:val="Default"/>
        <w:snapToGrid w:val="0"/>
        <w:spacing w:line="300" w:lineRule="auto"/>
        <w:jc w:val="center"/>
        <w:rPr>
          <w:rFonts w:ascii="华文中宋" w:eastAsia="仿宋_GB2312" w:hAnsi="华文中宋" w:cs="华文中宋"/>
          <w:b/>
          <w:color w:val="auto"/>
          <w:sz w:val="44"/>
          <w:szCs w:val="44"/>
        </w:rPr>
      </w:pPr>
      <w:r>
        <w:rPr>
          <w:rFonts w:ascii="华文中宋" w:eastAsia="仿宋_GB2312" w:hAnsi="华文中宋" w:cs="华文中宋" w:hint="eastAsia"/>
          <w:b/>
          <w:color w:val="auto"/>
          <w:sz w:val="44"/>
          <w:szCs w:val="44"/>
        </w:rPr>
        <w:t>广东省生物医学工程</w:t>
      </w:r>
      <w:r>
        <w:rPr>
          <w:rFonts w:ascii="华文中宋" w:eastAsia="仿宋_GB2312" w:hAnsi="华文中宋" w:cs="华文中宋"/>
          <w:b/>
          <w:color w:val="auto"/>
          <w:sz w:val="44"/>
          <w:szCs w:val="44"/>
        </w:rPr>
        <w:t>科学技术奖</w:t>
      </w:r>
      <w:r>
        <w:rPr>
          <w:rFonts w:ascii="华文中宋" w:eastAsia="仿宋_GB2312" w:hAnsi="华文中宋" w:cs="华文中宋" w:hint="eastAsia"/>
          <w:b/>
          <w:color w:val="auto"/>
          <w:sz w:val="44"/>
          <w:szCs w:val="44"/>
        </w:rPr>
        <w:t>评审</w:t>
      </w:r>
      <w:r>
        <w:rPr>
          <w:rFonts w:ascii="华文中宋" w:eastAsia="仿宋_GB2312" w:hAnsi="华文中宋" w:cs="华文中宋"/>
          <w:b/>
          <w:color w:val="auto"/>
          <w:sz w:val="44"/>
          <w:szCs w:val="44"/>
        </w:rPr>
        <w:t>办法</w:t>
      </w:r>
    </w:p>
    <w:p w:rsidR="00B26B84" w:rsidRDefault="00B37371">
      <w:pPr>
        <w:pStyle w:val="Default"/>
        <w:snapToGrid w:val="0"/>
        <w:spacing w:line="300" w:lineRule="auto"/>
        <w:jc w:val="center"/>
        <w:rPr>
          <w:rFonts w:ascii="华文中宋" w:eastAsia="仿宋_GB2312" w:hAnsi="华文中宋" w:cs="华文中宋"/>
          <w:color w:val="auto"/>
          <w:sz w:val="32"/>
          <w:szCs w:val="32"/>
        </w:rPr>
      </w:pPr>
      <w:r>
        <w:rPr>
          <w:rFonts w:ascii="华文中宋" w:eastAsia="仿宋_GB2312" w:hAnsi="华文中宋" w:cs="华文中宋" w:hint="eastAsia"/>
          <w:color w:val="auto"/>
          <w:sz w:val="32"/>
          <w:szCs w:val="32"/>
        </w:rPr>
        <w:t>（试行）</w:t>
      </w:r>
    </w:p>
    <w:p w:rsidR="00B26B84" w:rsidRDefault="00B26B84"/>
    <w:p w:rsidR="00B26B84" w:rsidRDefault="00B37371">
      <w:pPr>
        <w:pStyle w:val="Default"/>
        <w:snapToGrid w:val="0"/>
        <w:spacing w:line="360" w:lineRule="auto"/>
        <w:ind w:firstLineChars="200" w:firstLine="640"/>
        <w:rPr>
          <w:rFonts w:ascii="仿宋_GB2312" w:eastAsia="仿宋_GB2312" w:hAnsi="华文中宋" w:cs="仿宋"/>
          <w:color w:val="auto"/>
          <w:sz w:val="32"/>
          <w:szCs w:val="32"/>
        </w:rPr>
      </w:pPr>
      <w:r>
        <w:rPr>
          <w:rFonts w:ascii="仿宋_GB2312" w:eastAsia="仿宋_GB2312" w:hAnsi="华文中宋" w:cs="仿宋" w:hint="eastAsia"/>
          <w:color w:val="auto"/>
          <w:sz w:val="32"/>
          <w:szCs w:val="32"/>
        </w:rPr>
        <w:t>为了奖励在广东省生物医学工程领域科学技术进步活动中做出突出贡献的个人和组织，促进广东省生物医学工程领域科学技术发展，根据《国家科学技术奖励条例》、《社会力量设立科学技术奖管理办法》、《广东省人民政府办公厅关于印发广东省关于深化科技奖励制度改革方案的通知》、</w:t>
      </w:r>
      <w:r>
        <w:rPr>
          <w:rFonts w:ascii="仿宋_GB2312" w:eastAsia="仿宋_GB2312" w:hAnsi="仿宋_GB2312" w:cs="仿宋_GB2312" w:hint="eastAsia"/>
          <w:sz w:val="32"/>
          <w:szCs w:val="32"/>
        </w:rPr>
        <w:t>《广东省科学技术厅关于进一步鼓励和规范广东省社会力量设立科学技术奖的实施意见（试行）》</w:t>
      </w:r>
      <w:r>
        <w:rPr>
          <w:rFonts w:ascii="仿宋_GB2312" w:eastAsia="仿宋_GB2312" w:hAnsi="华文中宋" w:cs="仿宋" w:hint="eastAsia"/>
          <w:color w:val="auto"/>
          <w:sz w:val="32"/>
          <w:szCs w:val="32"/>
        </w:rPr>
        <w:t>有关要求，广东省生物医学工程学会设立广东省生物医学工程科学技术奖。</w:t>
      </w:r>
    </w:p>
    <w:p w:rsidR="00B26B84" w:rsidRDefault="00B37371">
      <w:pPr>
        <w:pStyle w:val="Default"/>
        <w:snapToGrid w:val="0"/>
        <w:spacing w:line="360" w:lineRule="auto"/>
        <w:ind w:firstLineChars="210" w:firstLine="675"/>
        <w:rPr>
          <w:rFonts w:ascii="仿宋_GB2312" w:eastAsia="仿宋_GB2312" w:hAnsi="华文中宋" w:cs="仿宋"/>
          <w:b/>
          <w:color w:val="auto"/>
          <w:sz w:val="32"/>
          <w:szCs w:val="32"/>
        </w:rPr>
      </w:pPr>
      <w:r>
        <w:rPr>
          <w:rFonts w:ascii="仿宋_GB2312" w:eastAsia="仿宋_GB2312" w:hAnsi="华文中宋" w:cs="仿宋" w:hint="eastAsia"/>
          <w:b/>
          <w:color w:val="auto"/>
          <w:sz w:val="32"/>
          <w:szCs w:val="32"/>
        </w:rPr>
        <w:t>一、评审组织</w:t>
      </w:r>
    </w:p>
    <w:p w:rsidR="00B26B84" w:rsidRDefault="00B37371">
      <w:pPr>
        <w:pStyle w:val="Default"/>
        <w:snapToGrid w:val="0"/>
        <w:spacing w:line="360" w:lineRule="auto"/>
        <w:ind w:firstLineChars="200" w:firstLine="643"/>
        <w:rPr>
          <w:rFonts w:ascii="仿宋_GB2312" w:eastAsia="仿宋_GB2312" w:cs="仿宋"/>
          <w:color w:val="auto"/>
          <w:sz w:val="32"/>
          <w:szCs w:val="32"/>
        </w:rPr>
      </w:pPr>
      <w:r>
        <w:rPr>
          <w:rFonts w:ascii="仿宋_GB2312" w:eastAsia="仿宋_GB2312" w:hAnsi="华文中宋" w:cs="仿宋" w:hint="eastAsia"/>
          <w:b/>
          <w:color w:val="auto"/>
          <w:sz w:val="32"/>
          <w:szCs w:val="32"/>
        </w:rPr>
        <w:t>（一）</w:t>
      </w:r>
      <w:r>
        <w:rPr>
          <w:rFonts w:ascii="仿宋_GB2312" w:eastAsia="仿宋_GB2312" w:hAnsi="华文中宋" w:cs="仿宋" w:hint="eastAsia"/>
          <w:color w:val="auto"/>
          <w:sz w:val="32"/>
          <w:szCs w:val="32"/>
        </w:rPr>
        <w:t xml:space="preserve"> </w:t>
      </w:r>
      <w:r>
        <w:rPr>
          <w:rFonts w:ascii="仿宋_GB2312" w:eastAsia="仿宋_GB2312" w:cs="仿宋" w:hint="eastAsia"/>
          <w:color w:val="auto"/>
          <w:sz w:val="32"/>
          <w:szCs w:val="32"/>
        </w:rPr>
        <w:t>广东省生物医学工程科学技术奖</w:t>
      </w:r>
      <w:r>
        <w:rPr>
          <w:rFonts w:ascii="仿宋_GB2312" w:eastAsia="仿宋_GB2312" w:hAnsi="华文中宋" w:cs="仿宋" w:hint="eastAsia"/>
          <w:color w:val="auto"/>
          <w:sz w:val="32"/>
          <w:szCs w:val="32"/>
        </w:rPr>
        <w:t>每年评选一次，</w:t>
      </w:r>
      <w:r>
        <w:rPr>
          <w:rFonts w:ascii="仿宋_GB2312" w:eastAsia="仿宋_GB2312" w:cs="仿宋" w:hint="eastAsia"/>
          <w:color w:val="auto"/>
          <w:sz w:val="32"/>
          <w:szCs w:val="32"/>
        </w:rPr>
        <w:t>奖励范围包括生物医学工程科学技术以下相关领域：</w:t>
      </w:r>
    </w:p>
    <w:p w:rsidR="00B26B84" w:rsidRDefault="00B37371">
      <w:pPr>
        <w:pStyle w:val="Default"/>
        <w:snapToGrid w:val="0"/>
        <w:spacing w:line="360" w:lineRule="auto"/>
        <w:ind w:firstLineChars="216" w:firstLine="691"/>
        <w:rPr>
          <w:rFonts w:ascii="仿宋_GB2312" w:eastAsia="仿宋_GB2312" w:cs="仿宋"/>
          <w:color w:val="auto"/>
          <w:sz w:val="32"/>
          <w:szCs w:val="32"/>
        </w:rPr>
      </w:pPr>
      <w:r>
        <w:rPr>
          <w:rFonts w:ascii="仿宋_GB2312" w:eastAsia="仿宋_GB2312" w:cs="仿宋" w:hint="eastAsia"/>
          <w:color w:val="auto"/>
          <w:sz w:val="32"/>
          <w:szCs w:val="32"/>
        </w:rPr>
        <w:t>1.基础研究和应用基础研究；</w:t>
      </w:r>
    </w:p>
    <w:p w:rsidR="00B26B84" w:rsidRDefault="00B37371">
      <w:pPr>
        <w:pStyle w:val="Default"/>
        <w:snapToGrid w:val="0"/>
        <w:spacing w:line="360" w:lineRule="auto"/>
        <w:ind w:firstLineChars="216" w:firstLine="691"/>
        <w:rPr>
          <w:rFonts w:ascii="仿宋_GB2312" w:eastAsia="仿宋_GB2312" w:cs="仿宋"/>
          <w:color w:val="auto"/>
          <w:sz w:val="32"/>
          <w:szCs w:val="32"/>
        </w:rPr>
      </w:pPr>
      <w:r>
        <w:rPr>
          <w:rFonts w:ascii="仿宋_GB2312" w:eastAsia="仿宋_GB2312" w:cs="仿宋" w:hint="eastAsia"/>
          <w:color w:val="auto"/>
          <w:sz w:val="32"/>
          <w:szCs w:val="32"/>
        </w:rPr>
        <w:t>2.重大技术发明与创新；</w:t>
      </w:r>
    </w:p>
    <w:p w:rsidR="00B26B84" w:rsidRDefault="00B37371">
      <w:pPr>
        <w:pStyle w:val="Default"/>
        <w:snapToGrid w:val="0"/>
        <w:spacing w:line="360" w:lineRule="auto"/>
        <w:ind w:firstLineChars="216" w:firstLine="691"/>
        <w:rPr>
          <w:rFonts w:ascii="仿宋_GB2312" w:eastAsia="仿宋_GB2312" w:cs="仿宋"/>
          <w:color w:val="auto"/>
          <w:sz w:val="32"/>
          <w:szCs w:val="32"/>
        </w:rPr>
      </w:pPr>
      <w:r>
        <w:rPr>
          <w:rFonts w:ascii="仿宋_GB2312" w:eastAsia="仿宋_GB2312" w:cs="仿宋" w:hint="eastAsia"/>
          <w:color w:val="auto"/>
          <w:sz w:val="32"/>
          <w:szCs w:val="32"/>
        </w:rPr>
        <w:t>3.重大技术开发项目及成果推广应用和产业化；</w:t>
      </w:r>
    </w:p>
    <w:p w:rsidR="00B26B84" w:rsidRDefault="00B37371">
      <w:pPr>
        <w:pStyle w:val="Default"/>
        <w:snapToGrid w:val="0"/>
        <w:spacing w:line="360" w:lineRule="auto"/>
        <w:ind w:firstLineChars="216" w:firstLine="691"/>
        <w:rPr>
          <w:rFonts w:ascii="仿宋_GB2312" w:eastAsia="仿宋_GB2312" w:cs="仿宋"/>
          <w:color w:val="auto"/>
          <w:sz w:val="32"/>
          <w:szCs w:val="32"/>
        </w:rPr>
      </w:pPr>
      <w:r>
        <w:rPr>
          <w:rFonts w:ascii="仿宋_GB2312" w:eastAsia="仿宋_GB2312" w:cs="仿宋" w:hint="eastAsia"/>
          <w:color w:val="auto"/>
          <w:sz w:val="32"/>
          <w:szCs w:val="32"/>
        </w:rPr>
        <w:t>4.重大工程组织实施；</w:t>
      </w:r>
    </w:p>
    <w:p w:rsidR="00B26B84" w:rsidRDefault="00B37371">
      <w:pPr>
        <w:pStyle w:val="Default"/>
        <w:snapToGrid w:val="0"/>
        <w:spacing w:line="360" w:lineRule="auto"/>
        <w:ind w:firstLineChars="216" w:firstLine="691"/>
        <w:rPr>
          <w:rFonts w:ascii="仿宋_GB2312" w:eastAsia="仿宋_GB2312" w:cs="仿宋"/>
          <w:color w:val="auto"/>
          <w:sz w:val="32"/>
          <w:szCs w:val="32"/>
        </w:rPr>
      </w:pPr>
      <w:r>
        <w:rPr>
          <w:rFonts w:ascii="仿宋_GB2312" w:eastAsia="仿宋_GB2312" w:cs="仿宋" w:hint="eastAsia"/>
          <w:color w:val="auto"/>
          <w:sz w:val="32"/>
          <w:szCs w:val="32"/>
        </w:rPr>
        <w:t>5.重要技术标准研究与制定；</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6.重要发展战略及政策研究，优秀科技专著。</w:t>
      </w:r>
    </w:p>
    <w:p w:rsidR="00B26B84" w:rsidRDefault="00B37371">
      <w:pPr>
        <w:spacing w:after="0" w:line="360" w:lineRule="auto"/>
        <w:ind w:firstLineChars="200" w:firstLine="643"/>
        <w:rPr>
          <w:rFonts w:ascii="仿宋_GB2312" w:eastAsia="仿宋_GB2312" w:cs="仿宋"/>
          <w:sz w:val="32"/>
          <w:szCs w:val="32"/>
        </w:rPr>
      </w:pPr>
      <w:r>
        <w:rPr>
          <w:rFonts w:ascii="仿宋_GB2312" w:eastAsia="仿宋_GB2312" w:cs="仿宋" w:hint="eastAsia"/>
          <w:b/>
          <w:sz w:val="32"/>
          <w:szCs w:val="32"/>
        </w:rPr>
        <w:t>（二）</w:t>
      </w:r>
      <w:r>
        <w:rPr>
          <w:rFonts w:ascii="仿宋_GB2312" w:eastAsia="仿宋_GB2312" w:cs="仿宋" w:hint="eastAsia"/>
          <w:sz w:val="32"/>
          <w:szCs w:val="32"/>
        </w:rPr>
        <w:t xml:space="preserve"> 广东省生物医学工程科学技术奖励</w:t>
      </w:r>
      <w:r>
        <w:rPr>
          <w:rFonts w:ascii="仿宋_GB2312" w:eastAsia="仿宋_GB2312" w:hAnsi="Calibri" w:cs="仿宋" w:hint="eastAsia"/>
          <w:sz w:val="32"/>
          <w:szCs w:val="32"/>
        </w:rPr>
        <w:t>坚持公益</w:t>
      </w:r>
      <w:r>
        <w:rPr>
          <w:rFonts w:ascii="仿宋_GB2312" w:eastAsia="仿宋_GB2312" w:cs="仿宋" w:hint="eastAsia"/>
          <w:sz w:val="32"/>
          <w:szCs w:val="32"/>
        </w:rPr>
        <w:t>性、非营利性，</w:t>
      </w:r>
      <w:r>
        <w:rPr>
          <w:rFonts w:ascii="仿宋_GB2312" w:eastAsia="仿宋_GB2312" w:hAnsi="仿宋_GB2312" w:cs="仿宋_GB2312" w:hint="eastAsia"/>
          <w:sz w:val="32"/>
          <w:szCs w:val="32"/>
        </w:rPr>
        <w:t>不得使用财政性经费发放奖励奖金，</w:t>
      </w:r>
      <w:r>
        <w:rPr>
          <w:rFonts w:ascii="仿宋_GB2312" w:eastAsia="仿宋_GB2312" w:hAnsi="Calibri" w:cs="仿宋" w:hint="eastAsia"/>
          <w:sz w:val="32"/>
          <w:szCs w:val="32"/>
        </w:rPr>
        <w:t>不以任何形</w:t>
      </w:r>
      <w:r>
        <w:rPr>
          <w:rFonts w:ascii="仿宋_GB2312" w:eastAsia="仿宋_GB2312" w:hAnsi="Calibri" w:cs="仿宋" w:hint="eastAsia"/>
          <w:sz w:val="32"/>
          <w:szCs w:val="32"/>
        </w:rPr>
        <w:lastRenderedPageBreak/>
        <w:t>式收取或变相收取评选对象的任何费用，奖励经费来源于社会捐赠、资助及学会自有资金等。</w:t>
      </w:r>
    </w:p>
    <w:p w:rsidR="00B26B84" w:rsidRDefault="00B37371">
      <w:pPr>
        <w:pStyle w:val="Default"/>
        <w:snapToGrid w:val="0"/>
        <w:spacing w:line="360" w:lineRule="auto"/>
        <w:ind w:firstLineChars="200" w:firstLine="643"/>
        <w:rPr>
          <w:rFonts w:ascii="仿宋_GB2312" w:eastAsia="仿宋_GB2312" w:cs="仿宋"/>
          <w:color w:val="auto"/>
          <w:sz w:val="32"/>
          <w:szCs w:val="32"/>
        </w:rPr>
      </w:pPr>
      <w:r>
        <w:rPr>
          <w:rFonts w:ascii="仿宋_GB2312" w:eastAsia="仿宋_GB2312" w:cs="仿宋" w:hint="eastAsia"/>
          <w:b/>
          <w:color w:val="auto"/>
          <w:sz w:val="32"/>
          <w:szCs w:val="32"/>
        </w:rPr>
        <w:t>（三）</w:t>
      </w:r>
      <w:r>
        <w:rPr>
          <w:rFonts w:ascii="仿宋_GB2312" w:eastAsia="仿宋_GB2312" w:hAnsi="华文中宋" w:cs="仿宋" w:hint="eastAsia"/>
          <w:color w:val="auto"/>
          <w:sz w:val="32"/>
          <w:szCs w:val="32"/>
        </w:rPr>
        <w:t xml:space="preserve"> </w:t>
      </w:r>
      <w:r>
        <w:rPr>
          <w:rFonts w:ascii="仿宋_GB2312" w:eastAsia="仿宋_GB2312" w:cs="仿宋" w:hint="eastAsia"/>
          <w:color w:val="auto"/>
          <w:sz w:val="32"/>
          <w:szCs w:val="32"/>
        </w:rPr>
        <w:t>广东省生物医学工程学会设立“</w:t>
      </w:r>
      <w:r>
        <w:rPr>
          <w:rFonts w:ascii="仿宋_GB2312" w:eastAsia="仿宋_GB2312" w:hAnsi="华文中宋" w:cs="仿宋" w:hint="eastAsia"/>
          <w:color w:val="auto"/>
          <w:sz w:val="32"/>
          <w:szCs w:val="32"/>
        </w:rPr>
        <w:t>广东省生物医学工程</w:t>
      </w:r>
      <w:r>
        <w:rPr>
          <w:rFonts w:ascii="仿宋_GB2312" w:eastAsia="仿宋_GB2312" w:cs="仿宋" w:hint="eastAsia"/>
          <w:color w:val="auto"/>
          <w:sz w:val="32"/>
          <w:szCs w:val="32"/>
        </w:rPr>
        <w:t>科学技术奖工作办公室”（简称奖励办）和“</w:t>
      </w:r>
      <w:r>
        <w:rPr>
          <w:rFonts w:ascii="仿宋_GB2312" w:eastAsia="仿宋_GB2312" w:hAnsi="华文中宋" w:cs="仿宋" w:hint="eastAsia"/>
          <w:color w:val="auto"/>
          <w:sz w:val="32"/>
          <w:szCs w:val="32"/>
        </w:rPr>
        <w:t>广东省生物医学工程科学技术奖</w:t>
      </w:r>
      <w:r>
        <w:rPr>
          <w:rFonts w:ascii="仿宋_GB2312" w:eastAsia="仿宋_GB2312" w:cs="仿宋" w:hint="eastAsia"/>
          <w:color w:val="auto"/>
          <w:sz w:val="32"/>
          <w:szCs w:val="32"/>
        </w:rPr>
        <w:t>专家评审委员会”（简称评审委）。</w:t>
      </w:r>
    </w:p>
    <w:p w:rsidR="00B26B84" w:rsidRDefault="00B37371">
      <w:pPr>
        <w:pStyle w:val="Default"/>
        <w:snapToGrid w:val="0"/>
        <w:spacing w:line="360" w:lineRule="auto"/>
        <w:ind w:firstLineChars="200" w:firstLine="643"/>
        <w:rPr>
          <w:rFonts w:ascii="仿宋_GB2312" w:eastAsia="仿宋_GB2312" w:cs="仿宋"/>
          <w:b/>
          <w:color w:val="auto"/>
          <w:sz w:val="32"/>
          <w:szCs w:val="32"/>
        </w:rPr>
      </w:pPr>
      <w:r>
        <w:rPr>
          <w:rFonts w:ascii="仿宋_GB2312" w:eastAsia="仿宋_GB2312" w:cs="仿宋" w:hint="eastAsia"/>
          <w:b/>
          <w:color w:val="auto"/>
          <w:sz w:val="32"/>
          <w:szCs w:val="32"/>
        </w:rPr>
        <w:t>1.奖励办组成与主要职责</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奖励办为日常办事机构，设在广东省生物医学工程学会秘书处，成员由广东省生物医学工程学会工作人员担任。奖励办主要职责：</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（1）奖项的征集、受理及评审相关的组织工作；</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（2）申报项目的形式审查工作；</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（3）负责评审专家征集和报常务理事会审批，评审专家库的更新与维护；</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（4）根据申报项目专业分布情况从评审专家库抽取专家组成评审委，并负责评审工作的项目分组和专家分组；</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（5）负责根据评审结果择优向相关部门提名或推荐参评广东省科学技术奖或中国生物医学工程学会</w:t>
      </w:r>
      <w:r>
        <w:rPr>
          <w:rFonts w:ascii="仿宋_GB2312" w:eastAsia="仿宋_GB2312" w:hAnsi="华文中宋" w:cs="仿宋" w:hint="eastAsia"/>
          <w:color w:val="auto"/>
          <w:sz w:val="32"/>
          <w:szCs w:val="32"/>
        </w:rPr>
        <w:t>科学技术奖</w:t>
      </w:r>
      <w:r>
        <w:rPr>
          <w:rFonts w:ascii="仿宋_GB2312" w:eastAsia="仿宋_GB2312" w:cs="仿宋" w:hint="eastAsia"/>
          <w:color w:val="auto"/>
          <w:sz w:val="32"/>
          <w:szCs w:val="32"/>
        </w:rPr>
        <w:t>等相关奖项；</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（6）负责对接省内相关部门和中国生物医学工程学会奖励工作办公室等单位的科技奖励与评价工作。</w:t>
      </w:r>
    </w:p>
    <w:p w:rsidR="00B26B84" w:rsidRDefault="00B37371">
      <w:pPr>
        <w:pStyle w:val="Default"/>
        <w:snapToGrid w:val="0"/>
        <w:spacing w:line="360" w:lineRule="auto"/>
        <w:ind w:firstLineChars="200" w:firstLine="643"/>
        <w:rPr>
          <w:rFonts w:ascii="仿宋_GB2312" w:eastAsia="仿宋_GB2312" w:cs="仿宋"/>
          <w:b/>
          <w:color w:val="auto"/>
          <w:sz w:val="32"/>
          <w:szCs w:val="32"/>
        </w:rPr>
      </w:pPr>
      <w:r>
        <w:rPr>
          <w:rFonts w:ascii="仿宋_GB2312" w:eastAsia="仿宋_GB2312" w:cs="仿宋" w:hint="eastAsia"/>
          <w:b/>
          <w:color w:val="auto"/>
          <w:sz w:val="32"/>
          <w:szCs w:val="32"/>
        </w:rPr>
        <w:t>2.评审委组成与主要职责</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广东省生物医学工程科学技术奖每年度评审工作开始</w:t>
      </w:r>
      <w:r>
        <w:rPr>
          <w:rFonts w:ascii="仿宋_GB2312" w:eastAsia="仿宋_GB2312" w:cs="仿宋" w:hint="eastAsia"/>
          <w:color w:val="auto"/>
          <w:sz w:val="32"/>
          <w:szCs w:val="32"/>
        </w:rPr>
        <w:lastRenderedPageBreak/>
        <w:t>之前，由奖励办从专家库中按照申报项目的专业分布情况抽取专家组成评审委。并按专业情况组成若干个专业评审组。评审委在奖励办协助下，负责广东省生物医学工程科学技术奖的评审工作。</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评审委设主任1人，副主任1至3人，委员若干人。评审委主要职责：</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（1）评定获奖项目及其等级；</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（2）对评审过程中的争议作出裁决；</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（3）研究处理评审工作中的重大问题。</w:t>
      </w:r>
    </w:p>
    <w:p w:rsidR="00B26B84" w:rsidRDefault="00B37371">
      <w:pPr>
        <w:pStyle w:val="Default"/>
        <w:snapToGrid w:val="0"/>
        <w:spacing w:line="360" w:lineRule="auto"/>
        <w:ind w:firstLineChars="200" w:firstLine="643"/>
        <w:rPr>
          <w:rFonts w:ascii="仿宋_GB2312" w:eastAsia="仿宋_GB2312" w:cs="仿宋"/>
          <w:b/>
          <w:color w:val="auto"/>
          <w:sz w:val="32"/>
          <w:szCs w:val="32"/>
        </w:rPr>
      </w:pPr>
      <w:r>
        <w:rPr>
          <w:rFonts w:ascii="仿宋_GB2312" w:eastAsia="仿宋_GB2312" w:cs="仿宋" w:hint="eastAsia"/>
          <w:b/>
          <w:color w:val="auto"/>
          <w:sz w:val="32"/>
          <w:szCs w:val="32"/>
        </w:rPr>
        <w:t>（四）评审专家</w:t>
      </w:r>
    </w:p>
    <w:p w:rsidR="00B26B84" w:rsidRDefault="00B37371">
      <w:pPr>
        <w:pStyle w:val="a3"/>
        <w:adjustRightInd w:val="0"/>
        <w:snapToGrid w:val="0"/>
        <w:spacing w:line="360" w:lineRule="auto"/>
        <w:ind w:left="0" w:firstLineChars="200" w:firstLine="640"/>
        <w:rPr>
          <w:rFonts w:hAnsi="华文中宋" w:cs="仿宋"/>
          <w:lang w:eastAsia="zh-CN"/>
        </w:rPr>
      </w:pPr>
      <w:r>
        <w:rPr>
          <w:rFonts w:cs="仿宋" w:hint="eastAsia"/>
          <w:lang w:eastAsia="zh-CN"/>
        </w:rPr>
        <w:t>广东省生物医学工程科学技术奖</w:t>
      </w:r>
      <w:r>
        <w:rPr>
          <w:rFonts w:hint="eastAsia"/>
          <w:spacing w:val="10"/>
          <w:lang w:eastAsia="zh-CN"/>
        </w:rPr>
        <w:t>评审专</w:t>
      </w:r>
      <w:r>
        <w:rPr>
          <w:rFonts w:hAnsi="华文中宋" w:cs="仿宋" w:hint="eastAsia"/>
          <w:lang w:eastAsia="zh-CN"/>
        </w:rPr>
        <w:t>家</w:t>
      </w:r>
      <w:r>
        <w:rPr>
          <w:rFonts w:hAnsi="Calibri" w:cs="仿宋" w:hint="eastAsia"/>
          <w:lang w:eastAsia="zh-CN"/>
        </w:rPr>
        <w:t>由生物医学工程学科和行业权威专家组成，人选由奖励办征集和遴选，报学会常务理事会批准后聘任。</w:t>
      </w:r>
      <w:r>
        <w:rPr>
          <w:rFonts w:hAnsi="华文中宋" w:cs="仿宋" w:hint="eastAsia"/>
          <w:lang w:eastAsia="zh-CN"/>
        </w:rPr>
        <w:t>评审专家应具备下列条件：</w:t>
      </w:r>
    </w:p>
    <w:p w:rsidR="00B26B84" w:rsidRDefault="00B37371">
      <w:pPr>
        <w:pStyle w:val="a3"/>
        <w:adjustRightInd w:val="0"/>
        <w:snapToGrid w:val="0"/>
        <w:spacing w:line="360" w:lineRule="auto"/>
        <w:ind w:left="0" w:firstLineChars="200" w:firstLine="640"/>
        <w:rPr>
          <w:rFonts w:hAnsi="华文中宋" w:cs="仿宋"/>
          <w:lang w:eastAsia="zh-CN"/>
        </w:rPr>
      </w:pPr>
      <w:r>
        <w:rPr>
          <w:rFonts w:hAnsi="华文中宋" w:cs="仿宋" w:hint="eastAsia"/>
          <w:lang w:eastAsia="zh-CN"/>
        </w:rPr>
        <w:t>1.具有副高级以上技术职称，长期从事科研、管理或生产经营等工作，熟悉生物医学工程领域国内外现状和发展方向；</w:t>
      </w:r>
    </w:p>
    <w:p w:rsidR="00B26B84" w:rsidRDefault="00B37371">
      <w:pPr>
        <w:pStyle w:val="a3"/>
        <w:adjustRightInd w:val="0"/>
        <w:snapToGrid w:val="0"/>
        <w:spacing w:line="360" w:lineRule="auto"/>
        <w:ind w:left="0" w:firstLineChars="200" w:firstLine="640"/>
        <w:rPr>
          <w:rFonts w:hAnsi="华文中宋" w:cs="仿宋"/>
          <w:lang w:eastAsia="zh-CN"/>
        </w:rPr>
      </w:pPr>
      <w:r>
        <w:rPr>
          <w:rFonts w:hint="eastAsia"/>
          <w:lang w:eastAsia="zh-CN"/>
        </w:rPr>
        <w:t>2.热心科技奖励工作，正确掌握评审标准；</w:t>
      </w:r>
    </w:p>
    <w:p w:rsidR="00B26B84" w:rsidRDefault="00B37371">
      <w:pPr>
        <w:pStyle w:val="a3"/>
        <w:adjustRightInd w:val="0"/>
        <w:snapToGrid w:val="0"/>
        <w:spacing w:line="360" w:lineRule="auto"/>
        <w:ind w:left="0" w:firstLineChars="200" w:firstLine="640"/>
        <w:rPr>
          <w:rFonts w:hAnsi="华文中宋" w:cs="仿宋"/>
          <w:lang w:eastAsia="zh-CN"/>
        </w:rPr>
      </w:pPr>
      <w:r>
        <w:rPr>
          <w:rFonts w:hint="eastAsia"/>
          <w:lang w:eastAsia="zh-CN"/>
        </w:rPr>
        <w:t>3.具有良好的科学道德和职业道德，秉公办事；</w:t>
      </w:r>
    </w:p>
    <w:p w:rsidR="00B26B84" w:rsidRDefault="00B37371">
      <w:pPr>
        <w:pStyle w:val="a3"/>
        <w:adjustRightInd w:val="0"/>
        <w:snapToGrid w:val="0"/>
        <w:spacing w:line="360" w:lineRule="auto"/>
        <w:ind w:left="0" w:firstLineChars="200" w:firstLine="648"/>
        <w:rPr>
          <w:lang w:eastAsia="zh-CN"/>
        </w:rPr>
      </w:pPr>
      <w:r>
        <w:rPr>
          <w:rFonts w:hint="eastAsia"/>
          <w:spacing w:val="2"/>
          <w:lang w:eastAsia="zh-CN"/>
        </w:rPr>
        <w:t>4.</w:t>
      </w:r>
      <w:r>
        <w:rPr>
          <w:rFonts w:hint="eastAsia"/>
          <w:lang w:eastAsia="zh-CN"/>
        </w:rPr>
        <w:t>对评</w:t>
      </w:r>
      <w:r>
        <w:rPr>
          <w:rFonts w:hint="eastAsia"/>
          <w:spacing w:val="2"/>
          <w:lang w:eastAsia="zh-CN"/>
        </w:rPr>
        <w:t>审</w:t>
      </w:r>
      <w:r>
        <w:rPr>
          <w:rFonts w:hint="eastAsia"/>
          <w:lang w:eastAsia="zh-CN"/>
        </w:rPr>
        <w:t>的</w:t>
      </w:r>
      <w:r>
        <w:rPr>
          <w:rFonts w:hint="eastAsia"/>
          <w:spacing w:val="2"/>
          <w:lang w:eastAsia="zh-CN"/>
        </w:rPr>
        <w:t>项</w:t>
      </w:r>
      <w:r>
        <w:rPr>
          <w:rFonts w:hint="eastAsia"/>
          <w:lang w:eastAsia="zh-CN"/>
        </w:rPr>
        <w:t>目技</w:t>
      </w:r>
      <w:r>
        <w:rPr>
          <w:rFonts w:hint="eastAsia"/>
          <w:spacing w:val="2"/>
          <w:lang w:eastAsia="zh-CN"/>
        </w:rPr>
        <w:t>术</w:t>
      </w:r>
      <w:r>
        <w:rPr>
          <w:rFonts w:hint="eastAsia"/>
          <w:lang w:eastAsia="zh-CN"/>
        </w:rPr>
        <w:t>内容</w:t>
      </w:r>
      <w:r>
        <w:rPr>
          <w:rFonts w:hint="eastAsia"/>
          <w:spacing w:val="2"/>
          <w:lang w:eastAsia="zh-CN"/>
        </w:rPr>
        <w:t>及</w:t>
      </w:r>
      <w:r>
        <w:rPr>
          <w:rFonts w:hint="eastAsia"/>
          <w:lang w:eastAsia="zh-CN"/>
        </w:rPr>
        <w:t>评审</w:t>
      </w:r>
      <w:r>
        <w:rPr>
          <w:rFonts w:hint="eastAsia"/>
          <w:spacing w:val="2"/>
          <w:lang w:eastAsia="zh-CN"/>
        </w:rPr>
        <w:t>情</w:t>
      </w:r>
      <w:r>
        <w:rPr>
          <w:rFonts w:hint="eastAsia"/>
          <w:lang w:eastAsia="zh-CN"/>
        </w:rPr>
        <w:t>况承担</w:t>
      </w:r>
      <w:r>
        <w:rPr>
          <w:rFonts w:hint="eastAsia"/>
          <w:spacing w:val="2"/>
          <w:lang w:eastAsia="zh-CN"/>
        </w:rPr>
        <w:t>保</w:t>
      </w:r>
      <w:r>
        <w:rPr>
          <w:rFonts w:hint="eastAsia"/>
          <w:lang w:eastAsia="zh-CN"/>
        </w:rPr>
        <w:t>密义</w:t>
      </w:r>
      <w:r>
        <w:rPr>
          <w:rFonts w:hint="eastAsia"/>
          <w:spacing w:val="2"/>
          <w:lang w:eastAsia="zh-CN"/>
        </w:rPr>
        <w:t>务</w:t>
      </w:r>
      <w:r>
        <w:rPr>
          <w:rFonts w:hint="eastAsia"/>
          <w:lang w:eastAsia="zh-CN"/>
        </w:rPr>
        <w:t>。</w:t>
      </w:r>
    </w:p>
    <w:p w:rsidR="00B26B84" w:rsidRDefault="00B37371">
      <w:pPr>
        <w:pStyle w:val="Default"/>
        <w:snapToGrid w:val="0"/>
        <w:spacing w:line="360" w:lineRule="auto"/>
        <w:ind w:firstLineChars="200" w:firstLine="643"/>
        <w:rPr>
          <w:rFonts w:ascii="仿宋_GB2312" w:eastAsia="仿宋_GB2312" w:cs="仿宋"/>
          <w:b/>
          <w:color w:val="auto"/>
          <w:sz w:val="32"/>
          <w:szCs w:val="32"/>
        </w:rPr>
      </w:pPr>
      <w:r>
        <w:rPr>
          <w:rFonts w:ascii="仿宋_GB2312" w:eastAsia="仿宋_GB2312" w:cs="仿宋" w:hint="eastAsia"/>
          <w:b/>
          <w:color w:val="auto"/>
          <w:sz w:val="32"/>
          <w:szCs w:val="32"/>
        </w:rPr>
        <w:t>二、奖种设置</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（一） 广东省生物医学工程科学技术奖分三类：</w:t>
      </w:r>
      <w:r w:rsidR="001514B8">
        <w:rPr>
          <w:rFonts w:ascii="仿宋_GB2312" w:eastAsia="仿宋_GB2312" w:cs="仿宋" w:hint="eastAsia"/>
          <w:color w:val="auto"/>
          <w:sz w:val="32"/>
          <w:szCs w:val="32"/>
        </w:rPr>
        <w:t>工程</w:t>
      </w:r>
      <w:r>
        <w:rPr>
          <w:rFonts w:ascii="仿宋_GB2312" w:eastAsia="仿宋_GB2312" w:cs="仿宋" w:hint="eastAsia"/>
          <w:color w:val="auto"/>
          <w:sz w:val="32"/>
          <w:szCs w:val="32"/>
        </w:rPr>
        <w:t>科学奖、技术发明奖、科技进步奖。</w:t>
      </w:r>
    </w:p>
    <w:p w:rsidR="00B26B84" w:rsidRDefault="00B37371">
      <w:pPr>
        <w:pStyle w:val="a6"/>
        <w:adjustRightInd w:val="0"/>
        <w:snapToGrid w:val="0"/>
        <w:spacing w:beforeAutospacing="0" w:afterAutospacing="0" w:line="360" w:lineRule="auto"/>
        <w:ind w:firstLineChars="200" w:firstLine="643"/>
        <w:rPr>
          <w:rFonts w:ascii="仿宋_GB2312" w:eastAsia="仿宋_GB2312" w:hAnsi="Calibri" w:cs="仿宋"/>
          <w:sz w:val="32"/>
          <w:szCs w:val="32"/>
        </w:rPr>
      </w:pPr>
      <w:r>
        <w:rPr>
          <w:rFonts w:ascii="仿宋_GB2312" w:eastAsia="仿宋_GB2312" w:hAnsi="Calibri" w:cs="仿宋" w:hint="eastAsia"/>
          <w:b/>
          <w:sz w:val="32"/>
          <w:szCs w:val="32"/>
        </w:rPr>
        <w:lastRenderedPageBreak/>
        <w:t>1.</w:t>
      </w:r>
      <w:r w:rsidR="001514B8">
        <w:rPr>
          <w:rFonts w:ascii="仿宋_GB2312" w:eastAsia="仿宋_GB2312" w:hAnsi="Calibri" w:cs="仿宋" w:hint="eastAsia"/>
          <w:b/>
          <w:sz w:val="32"/>
          <w:szCs w:val="32"/>
        </w:rPr>
        <w:t>工程</w:t>
      </w:r>
      <w:r>
        <w:rPr>
          <w:rFonts w:ascii="仿宋_GB2312" w:eastAsia="仿宋_GB2312" w:hAnsi="Calibri" w:cs="仿宋" w:hint="eastAsia"/>
          <w:b/>
          <w:sz w:val="32"/>
          <w:szCs w:val="32"/>
        </w:rPr>
        <w:t>科学奖。</w:t>
      </w:r>
      <w:r>
        <w:rPr>
          <w:rFonts w:ascii="仿宋_GB2312" w:eastAsia="仿宋_GB2312" w:hAnsi="Calibri" w:cs="仿宋" w:hint="eastAsia"/>
          <w:sz w:val="32"/>
          <w:szCs w:val="32"/>
        </w:rPr>
        <w:t>主要授予在</w:t>
      </w:r>
      <w:r>
        <w:rPr>
          <w:rFonts w:ascii="仿宋_GB2312" w:eastAsia="仿宋_GB2312" w:cs="仿宋" w:hint="eastAsia"/>
          <w:sz w:val="32"/>
          <w:szCs w:val="32"/>
        </w:rPr>
        <w:t>生物医学工程领域</w:t>
      </w:r>
      <w:r>
        <w:rPr>
          <w:rFonts w:ascii="仿宋_GB2312" w:eastAsia="仿宋_GB2312" w:hAnsi="Calibri" w:cs="仿宋" w:hint="eastAsia"/>
          <w:sz w:val="32"/>
          <w:szCs w:val="32"/>
        </w:rPr>
        <w:t>基础研究和应用基础研究中，阐明</w:t>
      </w:r>
      <w:r w:rsidR="001514B8">
        <w:rPr>
          <w:rFonts w:ascii="仿宋_GB2312" w:eastAsia="仿宋_GB2312" w:hAnsi="Calibri" w:cs="仿宋" w:hint="eastAsia"/>
          <w:sz w:val="32"/>
          <w:szCs w:val="32"/>
        </w:rPr>
        <w:t>工程原理</w:t>
      </w:r>
      <w:r>
        <w:rPr>
          <w:rFonts w:ascii="仿宋_GB2312" w:eastAsia="仿宋_GB2312" w:hAnsi="Calibri" w:cs="仿宋" w:hint="eastAsia"/>
          <w:sz w:val="32"/>
          <w:szCs w:val="32"/>
        </w:rPr>
        <w:t>、特征和规律并做出重大科学发现的个人。</w:t>
      </w:r>
    </w:p>
    <w:p w:rsidR="00B26B84" w:rsidRDefault="00B37371">
      <w:pPr>
        <w:pStyle w:val="a6"/>
        <w:adjustRightInd w:val="0"/>
        <w:snapToGrid w:val="0"/>
        <w:spacing w:beforeAutospacing="0" w:afterAutospacing="0" w:line="360" w:lineRule="auto"/>
        <w:ind w:firstLineChars="200" w:firstLine="643"/>
        <w:rPr>
          <w:rFonts w:ascii="仿宋_GB2312" w:eastAsia="仿宋_GB2312" w:hAnsi="Calibri" w:cs="仿宋"/>
          <w:sz w:val="32"/>
          <w:szCs w:val="32"/>
        </w:rPr>
      </w:pPr>
      <w:r>
        <w:rPr>
          <w:rFonts w:ascii="仿宋_GB2312" w:eastAsia="仿宋_GB2312" w:hAnsi="Calibri" w:cs="仿宋" w:hint="eastAsia"/>
          <w:b/>
          <w:sz w:val="32"/>
          <w:szCs w:val="32"/>
        </w:rPr>
        <w:t>2.技术发明奖。</w:t>
      </w:r>
      <w:r>
        <w:rPr>
          <w:rFonts w:ascii="仿宋_GB2312" w:eastAsia="仿宋_GB2312" w:hAnsi="Calibri" w:cs="仿宋" w:hint="eastAsia"/>
          <w:sz w:val="32"/>
          <w:szCs w:val="32"/>
        </w:rPr>
        <w:t>主要授予</w:t>
      </w:r>
      <w:r>
        <w:rPr>
          <w:rFonts w:ascii="仿宋_GB2312" w:eastAsia="仿宋_GB2312" w:cs="仿宋" w:hint="eastAsia"/>
          <w:sz w:val="32"/>
          <w:szCs w:val="32"/>
        </w:rPr>
        <w:t>生物医学工程领域中</w:t>
      </w:r>
      <w:r>
        <w:rPr>
          <w:rFonts w:ascii="仿宋_GB2312" w:eastAsia="仿宋_GB2312" w:hAnsi="Calibri" w:cs="仿宋" w:hint="eastAsia"/>
          <w:sz w:val="32"/>
          <w:szCs w:val="32"/>
        </w:rPr>
        <w:t>运用科学技术知识对产品、工艺、材料、</w:t>
      </w:r>
      <w:r w:rsidR="001514B8">
        <w:rPr>
          <w:rFonts w:ascii="仿宋_GB2312" w:eastAsia="仿宋_GB2312" w:hAnsi="Calibri" w:cs="仿宋" w:hint="eastAsia"/>
          <w:sz w:val="32"/>
          <w:szCs w:val="32"/>
        </w:rPr>
        <w:t>装</w:t>
      </w:r>
      <w:r w:rsidR="00A45D02">
        <w:rPr>
          <w:rFonts w:ascii="仿宋_GB2312" w:eastAsia="仿宋_GB2312" w:hAnsi="Calibri" w:cs="仿宋" w:hint="eastAsia"/>
          <w:sz w:val="32"/>
          <w:szCs w:val="32"/>
        </w:rPr>
        <w:t>备</w:t>
      </w:r>
      <w:r>
        <w:rPr>
          <w:rFonts w:ascii="仿宋_GB2312" w:eastAsia="仿宋_GB2312" w:hAnsi="Calibri" w:cs="仿宋" w:hint="eastAsia"/>
          <w:sz w:val="32"/>
          <w:szCs w:val="32"/>
        </w:rPr>
        <w:t>及其系统等做出重大技术发明的个人。</w:t>
      </w:r>
    </w:p>
    <w:p w:rsidR="00B26B84" w:rsidRDefault="00B37371">
      <w:pPr>
        <w:pStyle w:val="a6"/>
        <w:adjustRightInd w:val="0"/>
        <w:snapToGrid w:val="0"/>
        <w:spacing w:beforeAutospacing="0" w:afterAutospacing="0" w:line="360" w:lineRule="auto"/>
        <w:ind w:firstLineChars="200" w:firstLine="643"/>
        <w:rPr>
          <w:rFonts w:ascii="仿宋_GB2312" w:eastAsia="仿宋_GB2312" w:hAnsi="Calibri" w:cs="仿宋"/>
          <w:sz w:val="32"/>
          <w:szCs w:val="32"/>
        </w:rPr>
      </w:pPr>
      <w:r>
        <w:rPr>
          <w:rFonts w:ascii="仿宋_GB2312" w:eastAsia="仿宋_GB2312" w:hAnsi="Calibri" w:cs="仿宋" w:hint="eastAsia"/>
          <w:b/>
          <w:sz w:val="32"/>
          <w:szCs w:val="32"/>
        </w:rPr>
        <w:t>3.</w:t>
      </w:r>
      <w:r>
        <w:rPr>
          <w:rFonts w:ascii="仿宋_GB2312" w:eastAsia="仿宋_GB2312" w:cs="仿宋" w:hint="eastAsia"/>
          <w:b/>
          <w:sz w:val="32"/>
          <w:szCs w:val="32"/>
        </w:rPr>
        <w:t>科技进步</w:t>
      </w:r>
      <w:r>
        <w:rPr>
          <w:rFonts w:ascii="仿宋_GB2312" w:eastAsia="仿宋_GB2312" w:hAnsi="Calibri" w:cs="仿宋" w:hint="eastAsia"/>
          <w:b/>
          <w:sz w:val="32"/>
          <w:szCs w:val="32"/>
        </w:rPr>
        <w:t>奖。</w:t>
      </w:r>
      <w:r>
        <w:rPr>
          <w:rFonts w:ascii="仿宋_GB2312" w:eastAsia="仿宋_GB2312" w:hAnsi="Calibri" w:cs="仿宋" w:hint="eastAsia"/>
          <w:sz w:val="32"/>
          <w:szCs w:val="32"/>
        </w:rPr>
        <w:t>主要授予为促进</w:t>
      </w:r>
      <w:r>
        <w:rPr>
          <w:rFonts w:ascii="仿宋_GB2312" w:eastAsia="仿宋_GB2312" w:cs="仿宋" w:hint="eastAsia"/>
          <w:sz w:val="32"/>
          <w:szCs w:val="32"/>
        </w:rPr>
        <w:t>生物医学工程领域</w:t>
      </w:r>
      <w:r>
        <w:rPr>
          <w:rFonts w:ascii="仿宋_GB2312" w:eastAsia="仿宋_GB2312" w:hAnsi="Calibri" w:cs="仿宋" w:hint="eastAsia"/>
          <w:sz w:val="32"/>
          <w:szCs w:val="32"/>
        </w:rPr>
        <w:t>科技进步和经济社会发展做出突出贡献的个人、组织：</w:t>
      </w:r>
    </w:p>
    <w:p w:rsidR="00B26B84" w:rsidRDefault="00B37371">
      <w:pPr>
        <w:pStyle w:val="Default"/>
        <w:snapToGrid w:val="0"/>
        <w:spacing w:line="360" w:lineRule="auto"/>
        <w:ind w:firstLineChars="200" w:firstLine="643"/>
        <w:rPr>
          <w:rFonts w:ascii="仿宋_GB2312" w:eastAsia="仿宋_GB2312" w:cs="仿宋"/>
          <w:b/>
          <w:color w:val="auto"/>
          <w:sz w:val="32"/>
          <w:szCs w:val="32"/>
        </w:rPr>
      </w:pPr>
      <w:r>
        <w:rPr>
          <w:rFonts w:ascii="仿宋_GB2312" w:eastAsia="仿宋_GB2312" w:cs="仿宋" w:hint="eastAsia"/>
          <w:b/>
          <w:color w:val="auto"/>
          <w:sz w:val="32"/>
          <w:szCs w:val="32"/>
        </w:rPr>
        <w:t>三、等级、数量</w:t>
      </w:r>
    </w:p>
    <w:p w:rsidR="00B26B84" w:rsidRDefault="00B37371">
      <w:pPr>
        <w:pStyle w:val="Default"/>
        <w:snapToGrid w:val="0"/>
        <w:spacing w:line="360" w:lineRule="auto"/>
        <w:ind w:firstLineChars="200" w:firstLine="640"/>
        <w:rPr>
          <w:rStyle w:val="a7"/>
        </w:rPr>
      </w:pPr>
      <w:r>
        <w:rPr>
          <w:rFonts w:ascii="仿宋_GB2312" w:eastAsia="仿宋_GB2312" w:cs="仿宋" w:hint="eastAsia"/>
          <w:color w:val="auto"/>
          <w:sz w:val="32"/>
          <w:szCs w:val="32"/>
        </w:rPr>
        <w:t>（一）广东省生物医学工程科学技术奖原则上分别设立一等奖、二等奖、三等奖三个等级。特别优秀的项目可评为特等奖，特等奖为非常设奖项。</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（二）奖励数量根据每年申报情况确定，原则上每年度</w:t>
      </w:r>
      <w:r w:rsidR="001514B8">
        <w:rPr>
          <w:rFonts w:ascii="仿宋_GB2312" w:eastAsia="仿宋_GB2312" w:cs="仿宋" w:hint="eastAsia"/>
          <w:color w:val="auto"/>
          <w:sz w:val="32"/>
          <w:szCs w:val="32"/>
        </w:rPr>
        <w:t>工程</w:t>
      </w:r>
      <w:r>
        <w:rPr>
          <w:rFonts w:ascii="仿宋_GB2312" w:eastAsia="仿宋_GB2312" w:cs="仿宋" w:hint="eastAsia"/>
          <w:color w:val="auto"/>
          <w:sz w:val="32"/>
          <w:szCs w:val="32"/>
        </w:rPr>
        <w:t>科学奖一等奖不超过 2 个，技术发明奖一等奖不超过 4 个，科技进步奖一等奖不超过 6 个。二等奖数量不超过一等奖 2 倍。三等奖数量不超过二等奖 2 倍。质量第一，宁缺勿滥。</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（三）优秀获奖项目择优向相关部门提名广东省科学技术奖或推荐中国生物医学工程学会</w:t>
      </w:r>
      <w:r>
        <w:rPr>
          <w:rFonts w:ascii="仿宋_GB2312" w:eastAsia="仿宋_GB2312" w:hAnsi="华文中宋" w:cs="仿宋" w:hint="eastAsia"/>
          <w:color w:val="auto"/>
          <w:sz w:val="32"/>
          <w:szCs w:val="32"/>
        </w:rPr>
        <w:t>科学技术奖</w:t>
      </w:r>
      <w:r>
        <w:rPr>
          <w:rFonts w:ascii="仿宋_GB2312" w:eastAsia="仿宋_GB2312" w:cs="仿宋" w:hint="eastAsia"/>
          <w:color w:val="auto"/>
          <w:sz w:val="32"/>
          <w:szCs w:val="32"/>
        </w:rPr>
        <w:t>等相关奖项的评审；</w:t>
      </w:r>
    </w:p>
    <w:p w:rsidR="00B26B84" w:rsidRDefault="00B37371">
      <w:pPr>
        <w:pStyle w:val="Default"/>
        <w:snapToGrid w:val="0"/>
        <w:spacing w:line="360" w:lineRule="auto"/>
        <w:ind w:firstLineChars="200" w:firstLine="643"/>
        <w:rPr>
          <w:rFonts w:ascii="仿宋_GB2312" w:eastAsia="仿宋_GB2312" w:cs="仿宋"/>
          <w:b/>
          <w:color w:val="auto"/>
          <w:sz w:val="32"/>
          <w:szCs w:val="32"/>
        </w:rPr>
      </w:pPr>
      <w:r>
        <w:rPr>
          <w:rFonts w:ascii="仿宋_GB2312" w:eastAsia="仿宋_GB2312" w:cs="仿宋" w:hint="eastAsia"/>
          <w:b/>
          <w:color w:val="auto"/>
          <w:sz w:val="32"/>
          <w:szCs w:val="32"/>
        </w:rPr>
        <w:t xml:space="preserve">四、评审标准 </w:t>
      </w:r>
    </w:p>
    <w:p w:rsidR="00B26B84" w:rsidRDefault="00B37371">
      <w:pPr>
        <w:pStyle w:val="Default"/>
        <w:snapToGrid w:val="0"/>
        <w:spacing w:line="360" w:lineRule="auto"/>
        <w:ind w:firstLineChars="200" w:firstLine="640"/>
        <w:rPr>
          <w:rFonts w:ascii="仿宋_GB2312" w:eastAsia="仿宋_GB2312" w:cs="仿宋"/>
          <w:color w:val="FF0000"/>
          <w:sz w:val="32"/>
          <w:szCs w:val="32"/>
        </w:rPr>
      </w:pPr>
      <w:r>
        <w:rPr>
          <w:rFonts w:ascii="仿宋_GB2312" w:eastAsia="仿宋_GB2312" w:cs="仿宋" w:hint="eastAsia"/>
          <w:color w:val="auto"/>
          <w:sz w:val="32"/>
          <w:szCs w:val="32"/>
        </w:rPr>
        <w:t>广东省生物医学工程科学技术奖按技术水平和技术难</w:t>
      </w:r>
      <w:r>
        <w:rPr>
          <w:rFonts w:ascii="仿宋_GB2312" w:eastAsia="仿宋_GB2312" w:cs="仿宋" w:hint="eastAsia"/>
          <w:color w:val="auto"/>
          <w:sz w:val="32"/>
          <w:szCs w:val="32"/>
        </w:rPr>
        <w:lastRenderedPageBreak/>
        <w:t>度；推动技术进步的作用和意义；社会效益和经济效益等条件进行综合评定，其中：</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（一）一等奖项目。应达到国际先进水平或国内领先水平，技术难度很大，对促进我省行业科技进步或国民经济建设具有重大作用，经实践验证有重大经济效益和社会效益。</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（二）二等奖项目。应处于国内领先水平或国内先进水平，技术难度大，对促进我省行业科技进步或国民经济建设有较大作用，经实践验证有很大经济效益和社会效益。</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（三）三等奖项目。应达到国内先进水平，有较大技术难度，对促进我省行业科技进步或国民经济建设有较大作用，经实践验证有较大经济效益和社会效益。</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（四）达到国际领先水平，对科技进步和产业发展具有特殊重要的推动作用，并取得重大社会效益或经济效益的项目，可视情况评为特等奖。特等奖项目需经奖励办组织相关评审专家实地考察后由评审委审批。</w:t>
      </w:r>
    </w:p>
    <w:p w:rsidR="00B26B84" w:rsidRDefault="00B37371">
      <w:pPr>
        <w:pStyle w:val="a6"/>
        <w:widowControl/>
        <w:adjustRightInd w:val="0"/>
        <w:snapToGrid w:val="0"/>
        <w:spacing w:beforeAutospacing="0" w:afterAutospacing="0" w:line="360" w:lineRule="auto"/>
        <w:ind w:firstLineChars="200" w:firstLine="643"/>
        <w:rPr>
          <w:rFonts w:ascii="仿宋_GB2312" w:eastAsia="仿宋_GB2312" w:hAnsi="Calibri" w:cs="仿宋"/>
          <w:b/>
          <w:sz w:val="32"/>
          <w:szCs w:val="32"/>
        </w:rPr>
      </w:pPr>
      <w:r>
        <w:rPr>
          <w:rFonts w:ascii="仿宋_GB2312" w:eastAsia="仿宋_GB2312" w:hAnsi="Calibri" w:cs="仿宋" w:hint="eastAsia"/>
          <w:b/>
          <w:sz w:val="32"/>
          <w:szCs w:val="32"/>
        </w:rPr>
        <w:t>五、评奖程序</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（一） 申报</w:t>
      </w:r>
    </w:p>
    <w:p w:rsidR="00B26B84" w:rsidRDefault="00B37371">
      <w:pPr>
        <w:pStyle w:val="Default"/>
        <w:snapToGrid w:val="0"/>
        <w:spacing w:line="360" w:lineRule="auto"/>
        <w:ind w:firstLineChars="200" w:firstLine="640"/>
        <w:rPr>
          <w:rFonts w:ascii="仿宋_GB2312" w:eastAsia="仿宋_GB2312" w:cs="仿宋"/>
          <w:b/>
          <w:color w:val="auto"/>
          <w:sz w:val="32"/>
          <w:szCs w:val="32"/>
        </w:rPr>
      </w:pPr>
      <w:r>
        <w:rPr>
          <w:rFonts w:ascii="仿宋_GB2312" w:eastAsia="仿宋_GB2312" w:hAnsi="华文中宋" w:cs="仿宋" w:hint="eastAsia"/>
          <w:color w:val="auto"/>
          <w:sz w:val="32"/>
          <w:szCs w:val="32"/>
        </w:rPr>
        <w:t>1.</w:t>
      </w:r>
      <w:r>
        <w:rPr>
          <w:rFonts w:ascii="仿宋_GB2312" w:eastAsia="仿宋_GB2312" w:cs="仿宋" w:hint="eastAsia"/>
          <w:color w:val="auto"/>
          <w:sz w:val="32"/>
          <w:szCs w:val="32"/>
        </w:rPr>
        <w:t xml:space="preserve"> 广东省生物医学工程科学技术奖采取单位或个人提名的办法申报。奖励办接受以下单位和个人的提名。</w:t>
      </w:r>
    </w:p>
    <w:p w:rsidR="00B26B84" w:rsidRDefault="00B37371">
      <w:pPr>
        <w:pStyle w:val="a3"/>
        <w:adjustRightInd w:val="0"/>
        <w:snapToGrid w:val="0"/>
        <w:spacing w:line="360" w:lineRule="auto"/>
        <w:ind w:left="0" w:firstLineChars="200" w:firstLine="640"/>
        <w:rPr>
          <w:rFonts w:hAnsi="Calibri" w:cs="仿宋"/>
          <w:lang w:eastAsia="zh-CN"/>
        </w:rPr>
      </w:pPr>
      <w:r>
        <w:rPr>
          <w:rFonts w:hAnsi="Calibri" w:cs="仿宋" w:hint="eastAsia"/>
          <w:lang w:eastAsia="zh-CN"/>
        </w:rPr>
        <w:t>（1）省市生物医学工程相关领域学会（协会、研究会）对其会员单位项目统一</w:t>
      </w:r>
      <w:r>
        <w:rPr>
          <w:rFonts w:cs="仿宋" w:hint="eastAsia"/>
          <w:lang w:eastAsia="zh-CN"/>
        </w:rPr>
        <w:t>提名</w:t>
      </w:r>
      <w:r>
        <w:rPr>
          <w:rFonts w:hAnsi="Calibri" w:cs="仿宋" w:hint="eastAsia"/>
          <w:lang w:eastAsia="zh-CN"/>
        </w:rPr>
        <w:t>；</w:t>
      </w:r>
    </w:p>
    <w:p w:rsidR="00B26B84" w:rsidRDefault="00B37371">
      <w:pPr>
        <w:pStyle w:val="a3"/>
        <w:adjustRightInd w:val="0"/>
        <w:snapToGrid w:val="0"/>
        <w:spacing w:line="360" w:lineRule="auto"/>
        <w:ind w:left="0" w:firstLineChars="200" w:firstLine="640"/>
        <w:rPr>
          <w:rFonts w:hAnsi="Calibri" w:cs="仿宋"/>
          <w:lang w:eastAsia="zh-CN"/>
        </w:rPr>
      </w:pPr>
      <w:r>
        <w:rPr>
          <w:rFonts w:hAnsi="Calibri" w:cs="仿宋" w:hint="eastAsia"/>
          <w:lang w:eastAsia="zh-CN"/>
        </w:rPr>
        <w:t>（2）省内高等院校、科研院所对本单位项目</w:t>
      </w:r>
      <w:r>
        <w:rPr>
          <w:rFonts w:cs="仿宋" w:hint="eastAsia"/>
          <w:lang w:eastAsia="zh-CN"/>
        </w:rPr>
        <w:t>提名</w:t>
      </w:r>
      <w:r>
        <w:rPr>
          <w:rFonts w:hAnsi="Calibri" w:cs="仿宋" w:hint="eastAsia"/>
          <w:lang w:eastAsia="zh-CN"/>
        </w:rPr>
        <w:t>；</w:t>
      </w:r>
    </w:p>
    <w:p w:rsidR="00B26B84" w:rsidRDefault="00B37371">
      <w:pPr>
        <w:pStyle w:val="a3"/>
        <w:adjustRightInd w:val="0"/>
        <w:snapToGrid w:val="0"/>
        <w:spacing w:line="360" w:lineRule="auto"/>
        <w:ind w:left="0" w:firstLineChars="200" w:firstLine="640"/>
        <w:rPr>
          <w:rFonts w:hAnsi="Calibri" w:cs="仿宋"/>
          <w:lang w:eastAsia="zh-CN"/>
        </w:rPr>
      </w:pPr>
      <w:r>
        <w:rPr>
          <w:rFonts w:hAnsi="Calibri" w:cs="仿宋" w:hint="eastAsia"/>
          <w:lang w:eastAsia="zh-CN"/>
        </w:rPr>
        <w:lastRenderedPageBreak/>
        <w:t>（3）省生物医学工程学会单位会员对本单位项目</w:t>
      </w:r>
      <w:r>
        <w:rPr>
          <w:rFonts w:cs="仿宋" w:hint="eastAsia"/>
          <w:lang w:eastAsia="zh-CN"/>
        </w:rPr>
        <w:t>提名</w:t>
      </w:r>
      <w:r>
        <w:rPr>
          <w:rFonts w:hAnsi="Calibri" w:cs="仿宋" w:hint="eastAsia"/>
          <w:lang w:eastAsia="zh-CN"/>
        </w:rPr>
        <w:t>。</w:t>
      </w:r>
    </w:p>
    <w:p w:rsidR="00B26B84" w:rsidRDefault="00B37371">
      <w:pPr>
        <w:pStyle w:val="a3"/>
        <w:adjustRightInd w:val="0"/>
        <w:snapToGrid w:val="0"/>
        <w:spacing w:line="360" w:lineRule="auto"/>
        <w:ind w:left="0" w:firstLineChars="200" w:firstLine="640"/>
        <w:rPr>
          <w:rFonts w:hAnsi="Calibri" w:cs="仿宋"/>
          <w:lang w:eastAsia="zh-CN"/>
        </w:rPr>
      </w:pPr>
      <w:r>
        <w:rPr>
          <w:rFonts w:hAnsi="Calibri" w:cs="仿宋" w:hint="eastAsia"/>
          <w:lang w:eastAsia="zh-CN"/>
        </w:rPr>
        <w:t>（4）省内生物医学工程相关企事业对本单位项目</w:t>
      </w:r>
      <w:r>
        <w:rPr>
          <w:rFonts w:cs="仿宋" w:hint="eastAsia"/>
          <w:lang w:eastAsia="zh-CN"/>
        </w:rPr>
        <w:t>提名</w:t>
      </w:r>
      <w:r>
        <w:rPr>
          <w:rFonts w:hAnsi="Calibri" w:cs="仿宋" w:hint="eastAsia"/>
          <w:lang w:eastAsia="zh-CN"/>
        </w:rPr>
        <w:t>；</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（5）两院院士个人或学会理事2人以上提名。</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提名单位及提名个人对提名内容的真实性进行审查，并确保符合保密规定。</w:t>
      </w:r>
    </w:p>
    <w:p w:rsidR="00B26B84" w:rsidRDefault="00B37371">
      <w:pPr>
        <w:pStyle w:val="a3"/>
        <w:adjustRightInd w:val="0"/>
        <w:snapToGrid w:val="0"/>
        <w:spacing w:line="360" w:lineRule="auto"/>
        <w:ind w:left="0" w:firstLineChars="200" w:firstLine="640"/>
        <w:rPr>
          <w:rFonts w:hAnsi="Calibri" w:cs="仿宋"/>
          <w:lang w:eastAsia="zh-CN"/>
        </w:rPr>
      </w:pPr>
      <w:r>
        <w:rPr>
          <w:rFonts w:hAnsi="Calibri" w:cs="仿宋" w:hint="eastAsia"/>
          <w:lang w:eastAsia="zh-CN"/>
        </w:rPr>
        <w:t>2.</w:t>
      </w:r>
      <w:r>
        <w:rPr>
          <w:rFonts w:cs="仿宋" w:hint="eastAsia"/>
          <w:lang w:eastAsia="zh-CN"/>
        </w:rPr>
        <w:t>申报</w:t>
      </w:r>
      <w:r>
        <w:rPr>
          <w:rFonts w:hAnsi="Calibri" w:cs="仿宋" w:hint="eastAsia"/>
          <w:lang w:eastAsia="zh-CN"/>
        </w:rPr>
        <w:t>的科技成果应是近年之内已经通过国家、省市科技主管部门、省级或以上科技类社会组织鉴定、评价、验收等形式认定的项目，并经过科学技术成果登记。凡是存在知识产权、项目完成单位或完成人等方面争议，或未按要求取得法律、行政法规规定许可证的项目不得被</w:t>
      </w:r>
      <w:r>
        <w:rPr>
          <w:rFonts w:cs="仿宋" w:hint="eastAsia"/>
          <w:lang w:eastAsia="zh-CN"/>
        </w:rPr>
        <w:t>提名</w:t>
      </w:r>
      <w:r>
        <w:rPr>
          <w:rFonts w:hAnsi="Calibri" w:cs="仿宋" w:hint="eastAsia"/>
          <w:lang w:eastAsia="zh-CN"/>
        </w:rPr>
        <w:t>。科技成果的实践检验年限原则上不低于1年。</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3.符合申报条件的项目，由项目完成单位或个人填写《广东省</w:t>
      </w:r>
      <w:r>
        <w:rPr>
          <w:rFonts w:ascii="仿宋_GB2312" w:eastAsia="仿宋_GB2312" w:hAnsi="华文中宋" w:cs="仿宋" w:hint="eastAsia"/>
          <w:color w:val="auto"/>
          <w:sz w:val="32"/>
          <w:szCs w:val="32"/>
        </w:rPr>
        <w:t>生物医学工程</w:t>
      </w:r>
      <w:r>
        <w:rPr>
          <w:rFonts w:ascii="仿宋_GB2312" w:eastAsia="仿宋_GB2312" w:cs="仿宋" w:hint="eastAsia"/>
          <w:color w:val="auto"/>
          <w:sz w:val="32"/>
          <w:szCs w:val="32"/>
        </w:rPr>
        <w:t>科学技术奖申报书》，并按要求附证明材料，于申报截止期前报奖励办。截止日期以每年广东省生物医学工程学会网站发布的通知为准。</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 xml:space="preserve">（二）评审         </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1.奖励办在每年度申报奖励截止期后，对申报材料进行形式审查。如需补报材料，应及时通知申报单位或个人；申报单位或个人须在规定期限前补齐材料。</w:t>
      </w:r>
    </w:p>
    <w:p w:rsidR="00B26B84" w:rsidRDefault="00B37371">
      <w:pPr>
        <w:pStyle w:val="Default"/>
        <w:kinsoku w:val="0"/>
        <w:overflowPunct w:val="0"/>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2.经形式审查后，奖励办负责将符合条件的申报项目按专业分组，由专业评审组进行初评。</w:t>
      </w:r>
      <w:r>
        <w:rPr>
          <w:rFonts w:ascii="仿宋_GB2312" w:eastAsia="仿宋_GB2312" w:cs="宋体" w:hint="eastAsia"/>
          <w:sz w:val="32"/>
          <w:szCs w:val="32"/>
        </w:rPr>
        <w:t xml:space="preserve">　　</w:t>
      </w:r>
      <w:r>
        <w:rPr>
          <w:rFonts w:eastAsia="仿宋_GB2312" w:cs="宋体" w:hint="eastAsia"/>
          <w:sz w:val="32"/>
          <w:szCs w:val="32"/>
        </w:rPr>
        <w:t>   </w:t>
      </w:r>
      <w:r>
        <w:rPr>
          <w:rFonts w:ascii="仿宋_GB2312" w:eastAsia="仿宋_GB2312" w:cs="宋体" w:hint="eastAsia"/>
          <w:sz w:val="32"/>
          <w:szCs w:val="32"/>
        </w:rPr>
        <w:t xml:space="preserve"> </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3.评审委对专业评审组初评项目逐项评议，最后以记名</w:t>
      </w:r>
      <w:r>
        <w:rPr>
          <w:rFonts w:ascii="仿宋_GB2312" w:eastAsia="仿宋_GB2312" w:cs="仿宋" w:hint="eastAsia"/>
          <w:color w:val="auto"/>
          <w:sz w:val="32"/>
          <w:szCs w:val="32"/>
        </w:rPr>
        <w:lastRenderedPageBreak/>
        <w:t>投票方式表决确定获奖项目和奖励等级。投票表决实行一人一票制，一、二等奖须到会成员总数的三分之二以上通过，三等奖须到会成员总数的二分之一以上通过，方才有效。</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 xml:space="preserve">（三）异议处理  </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hAnsi="华文中宋" w:cs="仿宋" w:hint="eastAsia"/>
          <w:color w:val="auto"/>
          <w:sz w:val="32"/>
          <w:szCs w:val="32"/>
        </w:rPr>
        <w:t>1.</w:t>
      </w:r>
      <w:r>
        <w:rPr>
          <w:rFonts w:ascii="仿宋_GB2312" w:eastAsia="仿宋_GB2312" w:cs="仿宋" w:hint="eastAsia"/>
          <w:color w:val="auto"/>
          <w:sz w:val="32"/>
          <w:szCs w:val="32"/>
        </w:rPr>
        <w:t xml:space="preserve"> 广东省生物医学工程科学技术奖的提名和评审的规则、程序、结果等信息在广东省生物医学工程学会网站等媒体上向社会公开，接受社会各界监督。公示期不少于 10 天，任何组织或个人持有异议的，应在公示期间内提出，逾期不予受理。</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2. 项目评审实行异议制度，提出异议的组织或个人应表明真实身份，提供有单位公章或个人签名的书面材料，并提供有效的证明材料，凡是匿名或单位未盖公章的材料不予受理。</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（四）授予</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评审结果经公示无异议，或者虽有异议但已在规定时间内处理的，由广东省生物医学工程学会理事长批准发布公报，并颁发获奖证书。</w:t>
      </w:r>
    </w:p>
    <w:p w:rsidR="00B26B84" w:rsidRDefault="00B37371">
      <w:pPr>
        <w:pStyle w:val="Default"/>
        <w:snapToGrid w:val="0"/>
        <w:spacing w:line="360" w:lineRule="auto"/>
        <w:ind w:firstLineChars="200" w:firstLine="643"/>
        <w:rPr>
          <w:rFonts w:ascii="仿宋_GB2312" w:eastAsia="仿宋_GB2312" w:cs="仿宋"/>
          <w:b/>
          <w:color w:val="auto"/>
          <w:sz w:val="32"/>
          <w:szCs w:val="32"/>
        </w:rPr>
      </w:pPr>
      <w:r>
        <w:rPr>
          <w:rFonts w:ascii="仿宋_GB2312" w:eastAsia="仿宋_GB2312" w:cs="仿宋" w:hint="eastAsia"/>
          <w:b/>
          <w:color w:val="auto"/>
          <w:sz w:val="32"/>
          <w:szCs w:val="32"/>
        </w:rPr>
        <w:t xml:space="preserve">六、违规处理 </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1. 对违规的责任人和单位。对违规的责任人和单位，视情节轻重予以公开通报、阶段性或永久性取消参与广东省生物医学工程科学技术奖活动资格等处理；</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2. 对违规的获奖者。获奖者剽窃、侵夺他人的发现、</w:t>
      </w:r>
      <w:r>
        <w:rPr>
          <w:rFonts w:ascii="仿宋_GB2312" w:eastAsia="仿宋_GB2312" w:cs="仿宋" w:hint="eastAsia"/>
          <w:color w:val="auto"/>
          <w:sz w:val="32"/>
          <w:szCs w:val="32"/>
        </w:rPr>
        <w:lastRenderedPageBreak/>
        <w:t xml:space="preserve">发明或者其他科学技术成果的，或者以其他不正当手段骗取广东省生物医学工程科学技术奖的，由广东省生物医学工程学会理事会批准后撤销奖励，记录不良信誉。 </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3.对违规的提名者。提名者提供虚假数据、材料，协助他人骗取广东省生物医学工程科学技术奖的，由广东省生物医学工程学会暂停其提名资格。</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 xml:space="preserve">4.对违规的评审专家。评审专家存在违反学术道德和评审纪律的等行为的，按照有关规定给予记录不良信誉、暂停或者取消评审专家资格等处理。 </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5.对违规的工作人员。参与广东省生物医学工程科学技术奖评审组织工作的人员在评审活动中存在违规违纪行为的，依法依规依纪给予处理。</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六、其它</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1.申报材料一律不予退回，保存一年后，由奖励办统一销毁。</w:t>
      </w:r>
    </w:p>
    <w:p w:rsidR="00B26B84" w:rsidRDefault="00B37371">
      <w:pPr>
        <w:pStyle w:val="Default"/>
        <w:snapToGrid w:val="0"/>
        <w:spacing w:line="360" w:lineRule="auto"/>
        <w:ind w:firstLineChars="200" w:firstLine="640"/>
        <w:rPr>
          <w:rFonts w:ascii="仿宋_GB2312" w:eastAsia="仿宋_GB2312" w:cs="仿宋"/>
          <w:color w:val="auto"/>
          <w:sz w:val="32"/>
          <w:szCs w:val="32"/>
        </w:rPr>
      </w:pPr>
      <w:r>
        <w:rPr>
          <w:rFonts w:ascii="仿宋_GB2312" w:eastAsia="仿宋_GB2312" w:cs="仿宋" w:hint="eastAsia"/>
          <w:color w:val="auto"/>
          <w:sz w:val="32"/>
          <w:szCs w:val="32"/>
        </w:rPr>
        <w:t>2.本办法由广东省生物医学工程学会负责解释，学会秘书处可根据本办法制定实施细则。</w:t>
      </w:r>
    </w:p>
    <w:p w:rsidR="00B26B84" w:rsidRDefault="00B37371">
      <w:pPr>
        <w:pStyle w:val="Default"/>
        <w:snapToGrid w:val="0"/>
        <w:spacing w:line="360" w:lineRule="auto"/>
        <w:ind w:firstLineChars="200" w:firstLine="640"/>
        <w:rPr>
          <w:rFonts w:ascii="仿宋_GB2312" w:eastAsia="仿宋_GB2312" w:hAnsi="华文中宋" w:cs="仿宋"/>
          <w:color w:val="auto"/>
          <w:sz w:val="32"/>
          <w:szCs w:val="32"/>
        </w:rPr>
      </w:pPr>
      <w:r>
        <w:rPr>
          <w:rFonts w:ascii="仿宋_GB2312" w:eastAsia="仿宋_GB2312" w:cs="仿宋" w:hint="eastAsia"/>
          <w:color w:val="auto"/>
          <w:sz w:val="32"/>
          <w:szCs w:val="32"/>
        </w:rPr>
        <w:t>3.本办法已</w:t>
      </w:r>
      <w:r>
        <w:rPr>
          <w:rFonts w:ascii="华文中宋" w:eastAsia="仿宋_GB2312" w:hAnsi="华文中宋" w:cs="华文中宋" w:hint="eastAsia"/>
          <w:color w:val="auto"/>
          <w:sz w:val="32"/>
          <w:szCs w:val="32"/>
        </w:rPr>
        <w:t>经广东省生物医学工程学会第十一届</w:t>
      </w:r>
      <w:r w:rsidR="001514B8">
        <w:rPr>
          <w:rFonts w:ascii="华文中宋" w:eastAsia="仿宋_GB2312" w:hAnsi="华文中宋" w:cs="华文中宋" w:hint="eastAsia"/>
          <w:color w:val="auto"/>
          <w:sz w:val="32"/>
          <w:szCs w:val="32"/>
        </w:rPr>
        <w:t>第十</w:t>
      </w:r>
      <w:r>
        <w:rPr>
          <w:rFonts w:ascii="华文中宋" w:eastAsia="仿宋_GB2312" w:hAnsi="华文中宋" w:cs="华文中宋" w:hint="eastAsia"/>
          <w:color w:val="auto"/>
          <w:sz w:val="32"/>
          <w:szCs w:val="32"/>
        </w:rPr>
        <w:t>次理事会审议通过，</w:t>
      </w:r>
      <w:r>
        <w:rPr>
          <w:rFonts w:ascii="仿宋_GB2312" w:eastAsia="仿宋_GB2312" w:cs="仿宋" w:hint="eastAsia"/>
          <w:color w:val="auto"/>
          <w:sz w:val="32"/>
          <w:szCs w:val="32"/>
        </w:rPr>
        <w:t>自2023年7月7日起实施。</w:t>
      </w:r>
    </w:p>
    <w:p w:rsidR="00B26B84" w:rsidRDefault="00B26B84">
      <w:pPr>
        <w:pStyle w:val="Default"/>
        <w:snapToGrid w:val="0"/>
        <w:spacing w:line="360" w:lineRule="auto"/>
        <w:ind w:firstLineChars="200" w:firstLine="640"/>
        <w:rPr>
          <w:rFonts w:ascii="仿宋_GB2312" w:eastAsia="仿宋_GB2312" w:hAnsi="华文中宋" w:cs="仿宋"/>
          <w:color w:val="auto"/>
          <w:sz w:val="32"/>
          <w:szCs w:val="32"/>
        </w:rPr>
      </w:pPr>
    </w:p>
    <w:p w:rsidR="00B26B84" w:rsidRDefault="00B26B84">
      <w:pPr>
        <w:spacing w:after="0" w:line="360" w:lineRule="auto"/>
        <w:ind w:firstLine="200"/>
        <w:rPr>
          <w:rFonts w:ascii="仿宋_GB2312" w:eastAsia="仿宋_GB2312"/>
          <w:sz w:val="32"/>
          <w:szCs w:val="32"/>
          <w:u w:val="single"/>
        </w:rPr>
      </w:pPr>
    </w:p>
    <w:sectPr w:rsidR="00B26B84" w:rsidSect="00635D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C23" w:rsidRDefault="00EF5C23">
      <w:pPr>
        <w:spacing w:after="0"/>
      </w:pPr>
      <w:r>
        <w:separator/>
      </w:r>
    </w:p>
  </w:endnote>
  <w:endnote w:type="continuationSeparator" w:id="1">
    <w:p w:rsidR="00EF5C23" w:rsidRDefault="00EF5C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C23" w:rsidRDefault="00EF5C23">
      <w:pPr>
        <w:spacing w:after="0"/>
      </w:pPr>
      <w:r>
        <w:separator/>
      </w:r>
    </w:p>
  </w:footnote>
  <w:footnote w:type="continuationSeparator" w:id="1">
    <w:p w:rsidR="00EF5C23" w:rsidRDefault="00EF5C2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Q5MjU1NWRmMDk4MDc5ZjExZTQ2NzVlNWY1YmUwMDQifQ=="/>
  </w:docVars>
  <w:rsids>
    <w:rsidRoot w:val="004C0238"/>
    <w:rsid w:val="00007ADC"/>
    <w:rsid w:val="00020E34"/>
    <w:rsid w:val="00051039"/>
    <w:rsid w:val="000629D2"/>
    <w:rsid w:val="00077660"/>
    <w:rsid w:val="00112800"/>
    <w:rsid w:val="001230FB"/>
    <w:rsid w:val="001514B8"/>
    <w:rsid w:val="00180170"/>
    <w:rsid w:val="00233EB0"/>
    <w:rsid w:val="003020E4"/>
    <w:rsid w:val="00321CC3"/>
    <w:rsid w:val="003365E1"/>
    <w:rsid w:val="00351133"/>
    <w:rsid w:val="003B1527"/>
    <w:rsid w:val="003C6F56"/>
    <w:rsid w:val="003E28FD"/>
    <w:rsid w:val="004323F2"/>
    <w:rsid w:val="004C0238"/>
    <w:rsid w:val="004C3AA3"/>
    <w:rsid w:val="004D6A71"/>
    <w:rsid w:val="005838E8"/>
    <w:rsid w:val="005F2716"/>
    <w:rsid w:val="00614276"/>
    <w:rsid w:val="00614385"/>
    <w:rsid w:val="00635D6C"/>
    <w:rsid w:val="00665580"/>
    <w:rsid w:val="007173D5"/>
    <w:rsid w:val="00767965"/>
    <w:rsid w:val="00771E8A"/>
    <w:rsid w:val="00786993"/>
    <w:rsid w:val="007973BD"/>
    <w:rsid w:val="00867CDA"/>
    <w:rsid w:val="00885E09"/>
    <w:rsid w:val="009437E9"/>
    <w:rsid w:val="009C2271"/>
    <w:rsid w:val="009C250A"/>
    <w:rsid w:val="009C682A"/>
    <w:rsid w:val="009F2B39"/>
    <w:rsid w:val="00A3446F"/>
    <w:rsid w:val="00A4441B"/>
    <w:rsid w:val="00A45D02"/>
    <w:rsid w:val="00AC261B"/>
    <w:rsid w:val="00AD764B"/>
    <w:rsid w:val="00B0732A"/>
    <w:rsid w:val="00B26B84"/>
    <w:rsid w:val="00B33BA3"/>
    <w:rsid w:val="00B37371"/>
    <w:rsid w:val="00B8552F"/>
    <w:rsid w:val="00BD2BF1"/>
    <w:rsid w:val="00BE73AA"/>
    <w:rsid w:val="00BF6460"/>
    <w:rsid w:val="00C02F41"/>
    <w:rsid w:val="00C0569D"/>
    <w:rsid w:val="00C0709C"/>
    <w:rsid w:val="00C13F80"/>
    <w:rsid w:val="00C55677"/>
    <w:rsid w:val="00CE1BCE"/>
    <w:rsid w:val="00CF0E4B"/>
    <w:rsid w:val="00D017E6"/>
    <w:rsid w:val="00D04DD7"/>
    <w:rsid w:val="00D26771"/>
    <w:rsid w:val="00D3464F"/>
    <w:rsid w:val="00D96FFC"/>
    <w:rsid w:val="00DC1C8C"/>
    <w:rsid w:val="00DF3A88"/>
    <w:rsid w:val="00E146BC"/>
    <w:rsid w:val="00ED053F"/>
    <w:rsid w:val="00ED38D9"/>
    <w:rsid w:val="00EF5C23"/>
    <w:rsid w:val="00F1277D"/>
    <w:rsid w:val="00F15B4F"/>
    <w:rsid w:val="00F55886"/>
    <w:rsid w:val="00F56D5D"/>
    <w:rsid w:val="04616A4B"/>
    <w:rsid w:val="47FD2C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6C"/>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35D6C"/>
    <w:pPr>
      <w:widowControl w:val="0"/>
      <w:adjustRightInd/>
      <w:snapToGrid/>
      <w:spacing w:after="0"/>
      <w:ind w:left="119"/>
    </w:pPr>
    <w:rPr>
      <w:rFonts w:ascii="仿宋_GB2312" w:eastAsia="仿宋_GB2312" w:hAnsi="仿宋_GB2312" w:cstheme="minorBidi"/>
      <w:sz w:val="32"/>
      <w:szCs w:val="32"/>
      <w:lang w:eastAsia="en-US"/>
    </w:rPr>
  </w:style>
  <w:style w:type="paragraph" w:styleId="a4">
    <w:name w:val="footer"/>
    <w:basedOn w:val="a"/>
    <w:link w:val="Char0"/>
    <w:uiPriority w:val="99"/>
    <w:unhideWhenUsed/>
    <w:qFormat/>
    <w:rsid w:val="00635D6C"/>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rsid w:val="00635D6C"/>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paragraph" w:styleId="a6">
    <w:name w:val="Normal (Web)"/>
    <w:basedOn w:val="a"/>
    <w:rsid w:val="00635D6C"/>
    <w:pPr>
      <w:widowControl w:val="0"/>
      <w:adjustRightInd/>
      <w:snapToGrid/>
      <w:spacing w:beforeAutospacing="1" w:after="0" w:afterAutospacing="1"/>
    </w:pPr>
    <w:rPr>
      <w:rFonts w:asciiTheme="minorHAnsi" w:eastAsiaTheme="minorEastAsia" w:hAnsiTheme="minorHAnsi"/>
      <w:sz w:val="24"/>
      <w:szCs w:val="24"/>
    </w:rPr>
  </w:style>
  <w:style w:type="character" w:styleId="a7">
    <w:name w:val="Strong"/>
    <w:basedOn w:val="a0"/>
    <w:qFormat/>
    <w:rsid w:val="00635D6C"/>
    <w:rPr>
      <w:b/>
    </w:rPr>
  </w:style>
  <w:style w:type="character" w:customStyle="1" w:styleId="Char1">
    <w:name w:val="页眉 Char"/>
    <w:basedOn w:val="a0"/>
    <w:link w:val="a5"/>
    <w:uiPriority w:val="99"/>
    <w:rsid w:val="00635D6C"/>
    <w:rPr>
      <w:sz w:val="18"/>
      <w:szCs w:val="18"/>
    </w:rPr>
  </w:style>
  <w:style w:type="character" w:customStyle="1" w:styleId="Char0">
    <w:name w:val="页脚 Char"/>
    <w:basedOn w:val="a0"/>
    <w:link w:val="a4"/>
    <w:uiPriority w:val="99"/>
    <w:rsid w:val="00635D6C"/>
    <w:rPr>
      <w:sz w:val="18"/>
      <w:szCs w:val="18"/>
    </w:rPr>
  </w:style>
  <w:style w:type="paragraph" w:customStyle="1" w:styleId="Default">
    <w:name w:val="Default"/>
    <w:rsid w:val="00635D6C"/>
    <w:pPr>
      <w:widowControl w:val="0"/>
      <w:autoSpaceDE w:val="0"/>
      <w:autoSpaceDN w:val="0"/>
      <w:adjustRightInd w:val="0"/>
    </w:pPr>
    <w:rPr>
      <w:rFonts w:ascii="Calibri" w:eastAsia="微软雅黑" w:hAnsi="Calibri" w:cs="Calibri"/>
      <w:color w:val="000000"/>
      <w:sz w:val="24"/>
      <w:szCs w:val="24"/>
    </w:rPr>
  </w:style>
  <w:style w:type="character" w:customStyle="1" w:styleId="Char">
    <w:name w:val="正文文本 Char"/>
    <w:basedOn w:val="a0"/>
    <w:link w:val="a3"/>
    <w:uiPriority w:val="1"/>
    <w:qFormat/>
    <w:rsid w:val="00635D6C"/>
    <w:rPr>
      <w:rFonts w:ascii="仿宋_GB2312" w:eastAsia="仿宋_GB2312" w:hAnsi="仿宋_GB2312"/>
      <w:kern w:val="0"/>
      <w:sz w:val="32"/>
      <w:szCs w:val="32"/>
      <w:lang w:eastAsia="en-US"/>
    </w:rPr>
  </w:style>
  <w:style w:type="paragraph" w:styleId="a8">
    <w:name w:val="Revision"/>
    <w:hidden/>
    <w:uiPriority w:val="99"/>
    <w:semiHidden/>
    <w:rsid w:val="00112800"/>
    <w:rPr>
      <w:rFonts w:ascii="Tahoma" w:eastAsia="微软雅黑" w:hAnsi="Tahoma"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a957881234@126.com</cp:lastModifiedBy>
  <cp:revision>2</cp:revision>
  <cp:lastPrinted>2023-10-13T07:29:00Z</cp:lastPrinted>
  <dcterms:created xsi:type="dcterms:W3CDTF">2023-10-13T07:29:00Z</dcterms:created>
  <dcterms:modified xsi:type="dcterms:W3CDTF">2023-10-13T07:29:00Z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BBD9C25D9BF942108F7A460D40AE7A2C</vt:lpwstr>
  </property>
</Properties>
</file>